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活性堆肥的制作施用技术</w:t>
      </w:r>
    </w:p>
    <w:p>
      <w:r>
        <w:rPr>
          <w:rFonts w:ascii="宋体" w:hAnsi="宋体" w:eastAsia="宋体"/>
          <w:sz w:val="24"/>
        </w:rPr>
        <w:t>日本农山渔村文化协会编；尹林，王维琴译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活性堆肥的制作施用技术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日本农山渔村文化协会编；尹林，王维琴译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本书出售、求购地址：https://www.jiaokey.com/book/detail/11259107.html</w:t>
      </w:r>
    </w:p>
    <w:p>
      <w:r>
        <w:t>更多相关图书推荐：https://www.jiaokey.com</w:t>
      </w:r>
    </w:p>
    <w:p>
      <w:r>
        <w:t>日本农山渔村文化协会编；尹林，王维琴译 其他作品：https://www.jiaokey.com/tag/日本农山渔村文化协会编；尹林，王维琴译.html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关键词搜索：https://www.jiaokey.com/tag/活性堆肥的制作施用技术.html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