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英国药制</w:t>
      </w:r>
    </w:p>
    <w:p>
      <w:r>
        <w:rPr>
          <w:rFonts w:ascii="宋体" w:hAnsi="宋体" w:eastAsia="宋体"/>
          <w:sz w:val="24"/>
        </w:rPr>
        <w:t>高镜朗译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英国药制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高镜朗译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伦敦商会；上海英商会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本书出售、求购地址：https://www.jiaokey.com/book/detail/11254159.html</w:t>
      </w:r>
    </w:p>
    <w:p>
      <w:r>
        <w:t>更多相关图书推荐：https://www.jiaokey.com</w:t>
      </w:r>
    </w:p>
    <w:p>
      <w:r>
        <w:t>高镜朗译 其他作品：https://www.jiaokey.com/tag/高镜朗译.html</w:t>
      </w:r>
    </w:p>
    <w:p>
      <w:r>
        <w:t>伦敦商会；上海英商会 出版图书：https://www.jiaokey.com/tag/伦敦商会；上海英商会.html</w:t>
      </w:r>
    </w:p>
    <w:p>
      <w:r>
        <w:t>关键词搜索：https://www.jiaokey.com/tag/英国药制.html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