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水权管理  一经验、问题和导则</w:t>
      </w:r>
    </w:p>
    <w:p>
      <w:r>
        <w:rPr>
          <w:rFonts w:ascii="宋体" w:hAnsi="宋体" w:eastAsia="宋体"/>
          <w:sz w:val="24"/>
        </w:rPr>
        <w:t>联合国粮农组织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水权管理  一经验、问题和导则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本书出售、求购地址：https://www.jiaokey.com/book/detail/11249240.html</w:t>
      </w:r>
    </w:p>
    <w:p>
      <w:r>
        <w:t>更多相关图书推荐：https://www.jiaokey.com</w:t>
      </w:r>
    </w:p>
    <w:p>
      <w:r>
        <w:t>联合国粮农组织 其他作品：https://www.jiaokey.com/tag/联合国粮农组织.html</w:t>
      </w:r>
    </w:p>
    <w:p>
      <w:r>
        <w:t>关键词搜索：https://www.jiaokey.com/tag/水权管理  一经验、问题和导则.html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