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网页制作三剑客实例精粹</w:t>
      </w:r>
    </w:p>
    <w:p>
      <w:r>
        <w:rPr>
          <w:rFonts w:ascii="宋体" w:hAnsi="宋体" w:eastAsia="宋体"/>
          <w:sz w:val="24"/>
        </w:rPr>
        <w:t>姜谷鹏主编；崔慧勇，任立功，李建慧，魏霞等编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网页制作三剑客实例精粹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姜谷鹏主编；崔慧勇，任立功，李建慧，魏霞等编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本书出售、求购地址：https://www.jiaokey.com/book/detail/11248010.html</w:t>
      </w:r>
    </w:p>
    <w:p>
      <w:r>
        <w:t>更多相关图书推荐：https://www.jiaokey.com</w:t>
      </w:r>
    </w:p>
    <w:p>
      <w:r>
        <w:t>姜谷鹏主编；崔慧勇，任立功，李建慧，魏霞等编 其他作品：https://www.jiaokey.com/tag/姜谷鹏主编；崔慧勇，任立功，李建慧，魏霞等编.html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关键词搜索：https://www.jiaokey.com/tag/网页制作三剑客实例精粹.html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