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法国民法总论</w:t>
      </w:r>
    </w:p>
    <w:p>
      <w:r>
        <w:rPr>
          <w:rFonts w:ascii="宋体" w:hAnsi="宋体" w:eastAsia="宋体"/>
          <w:sz w:val="24"/>
        </w:rPr>
        <w:t>（法）雅克·盖斯旦（Jacques Ghestin），（法）吉勒·古博（Gilles Goubeaux）著；陈鹏等译（巴黎第一大学）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（法）雅克·盖斯旦（Jacques Ghestin），（法）吉勒·古博（Gilles Goubeaux）著；陈鹏等译（巴黎第一大学）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本书出售、求购地址：https://www.jiaokey.com/book/detail/11247349.html</w:t>
      </w:r>
    </w:p>
    <w:p>
      <w:r>
        <w:t>更多相关图书推荐：https://www.jiaokey.com</w:t>
      </w:r>
    </w:p>
    <w:p>
      <w:r>
        <w:t>（法）雅克·盖斯旦（Jacques Ghestin），（法）吉勒·古博（Gilles Goubeaux）著；陈鹏等译（巴黎第一大学） 其他作品：https://www.jiaokey.com/tag/（法）雅克·盖斯旦（Jacques Ghestin），（法）吉勒·古博（Gilles Goubeaux）著；陈鹏等译（巴黎第一大学）.html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