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中国涉外商事审判实务</w:t>
      </w:r>
    </w:p>
    <w:p>
      <w:r>
        <w:rPr>
          <w:rFonts w:ascii="宋体" w:hAnsi="宋体" w:eastAsia="宋体"/>
          <w:sz w:val="24"/>
        </w:rPr>
        <w:t>吕伯涛主编；广东省高级人民法院编；郑新俭，杜以星，侯向磊，成明珠，叶丹编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中国涉外商事审判实务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吕伯涛主编；广东省高级人民法院编；郑新俭，杜以星，侯向磊，成明珠，叶丹编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本书出售、求购地址：https://www.jiaokey.com/book/detail/11247339.html</w:t>
      </w:r>
    </w:p>
    <w:p>
      <w:r>
        <w:t>更多相关图书推荐：https://www.jiaokey.com</w:t>
      </w:r>
    </w:p>
    <w:p>
      <w:r>
        <w:t>吕伯涛主编；广东省高级人民法院编；郑新俭，杜以星，侯向磊，成明珠，叶丹编 其他作品：https://www.jiaokey.com/tag/吕伯涛主编；广东省高级人民法院编；郑新俭，杜以星，侯向磊，成明珠，叶丹编.html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关键词搜索：https://www.jiaokey.com/tag/中国涉外商事审判实务.html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