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美国资本主义的未来  决定美国经济制度的长期因素及其变化</w:t>
      </w:r>
    </w:p>
    <w:p>
      <w:r>
        <w:rPr>
          <w:rFonts w:ascii="宋体" w:hAnsi="宋体" w:eastAsia="宋体"/>
          <w:sz w:val="24"/>
        </w:rPr>
        <w:t>（美）弗雷德里克·普赖尔著；黄胜强，许铭原译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美国资本主义的未来  决定美国经济制度的长期因素及其变化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（美）弗雷德里克·普赖尔著；黄胜强，许铭原译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本书出售、求购地址：https://www.jiaokey.com/book/detail/11245510.html</w:t>
      </w:r>
    </w:p>
    <w:p>
      <w:r>
        <w:t>更多相关图书推荐：https://www.jiaokey.com</w:t>
      </w:r>
    </w:p>
    <w:p>
      <w:r>
        <w:t>（美）弗雷德里克·普赖尔著；黄胜强，许铭原译 其他作品：https://www.jiaokey.com/tag/（美）弗雷德里克·普赖尔著；黄胜强，许铭原译.html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关键词搜索：https://www.jiaokey.com/tag/美国资本主义的未来  决定美国经济制度的长期因素及其变化.html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