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鱼类年龄和生长的研究方法</w:t>
      </w:r>
    </w:p>
    <w:p>
      <w:r>
        <w:rPr>
          <w:rFonts w:ascii="宋体" w:hAnsi="宋体" w:eastAsia="宋体"/>
          <w:sz w:val="24"/>
        </w:rPr>
        <w:t>（苏）丘古诺娃（Н.И.Чугунова）著；刘建康，陈佩黛译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鱼类年龄和生长的研究方法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（苏）丘古诺娃（Н.И.Чугунова）著；刘建康，陈佩黛译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本书出售、求购地址：https://www.jiaokey.com/book/detail/11237670.html</w:t>
      </w:r>
    </w:p>
    <w:p>
      <w:r>
        <w:t>更多相关图书推荐：https://www.jiaokey.com</w:t>
      </w:r>
    </w:p>
    <w:p>
      <w:r>
        <w:t>（苏）丘古诺娃（Н.И.Чугунова）著；刘建康，陈佩黛译 其他作品：https://www.jiaokey.com/tag/（苏）丘古诺娃（Н.И.Чугунова）著；刘建康，陈佩黛译.html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关键词搜索：https://www.jiaokey.com/tag/鱼类年龄和生长的研究方法.html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