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国学治要  第3编  诸子治要卷1  诸子十七种  孙子</w:t>
      </w:r>
    </w:p>
    <w:p>
      <w:r>
        <w:rPr>
          <w:rFonts w:ascii="宋体" w:hAnsi="宋体" w:eastAsia="宋体"/>
          <w:sz w:val="24"/>
        </w:rPr>
        <w:t>武陵张文治编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国学治要  第3编  诸子治要卷1  诸子十七种  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武陵张文治编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本书出售、求购地址：https://www.jiaokey.com/book/detail/11237592.html</w:t>
      </w:r>
    </w:p>
    <w:p>
      <w:r>
        <w:t>更多相关图书推荐：https://www.jiaokey.com</w:t>
      </w:r>
    </w:p>
    <w:p>
      <w:r>
        <w:t>武陵张文治编 其他作品：https://www.jiaokey.com/tag/武陵张文治编.html</w:t>
      </w:r>
    </w:p>
    <w:p>
      <w:r>
        <w:t>上海文明书局 出版图书：https://www.jiaokey.com/tag/上海文明书局.html</w:t>
      </w:r>
    </w:p>
    <w:p>
      <w:r>
        <w:t>关键词搜索：https://www.jiaokey.com/tag/国学治要  第3编  诸子治要卷1  诸子十七种  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