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无形资产战略研究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本书出售、求购地址：https://www.jiaokey.com/book/detail/11230525.html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关键词搜索：https://www.jiaokey.com/tag/无形资产战略研究.html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