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发展毛竹</w:t>
      </w:r>
    </w:p>
    <w:p>
      <w:r>
        <w:rPr>
          <w:rFonts w:ascii="宋体" w:hAnsi="宋体" w:eastAsia="宋体"/>
          <w:sz w:val="24"/>
        </w:rPr>
        <w:t>农林部林业局，供销合作总社土产果品局编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发展毛竹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农林部林业局，供销合作总社土产果品局编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本书出售、求购地址：https://www.jiaokey.com/book/detail/11229438.html</w:t>
      </w:r>
    </w:p>
    <w:p>
      <w:r>
        <w:t>更多相关图书推荐：https://www.jiaokey.com</w:t>
      </w:r>
    </w:p>
    <w:p>
      <w:r>
        <w:t>农林部林业局，供销合作总社土产果品局编 其他作品：https://www.jiaokey.com/tag/农林部林业局，供销合作总社土产果品局编.html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关键词搜索：https://www.jiaokey.com/tag/发展毛竹.html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