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苏联国家银行的结算帐户与往来帐户</w:t>
      </w:r>
    </w:p>
    <w:p>
      <w:r>
        <w:rPr>
          <w:rFonts w:ascii="宋体" w:hAnsi="宋体" w:eastAsia="宋体"/>
          <w:sz w:val="24"/>
        </w:rPr>
        <w:t>（苏）瓦斯聂夫（Н.В.Васнев）等编；张尔勋，李国钧译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苏联国家银行的结算帐户与往来帐户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（苏）瓦斯聂夫（Н.В.Васнев）等编；张尔勋，李国钧译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本书出售、求购地址：https://www.jiaokey.com/book/detail/11229203.html</w:t>
      </w:r>
    </w:p>
    <w:p>
      <w:r>
        <w:t>更多相关图书推荐：https://www.jiaokey.com</w:t>
      </w:r>
    </w:p>
    <w:p>
      <w:r>
        <w:t>（苏）瓦斯聂夫（Н.В.Васнев）等编；张尔勋，李国钧译 其他作品：https://www.jiaokey.com/tag/（苏）瓦斯聂夫（Н.В.Васнев）等编；张尔勋，李国钧译.html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关键词搜索：https://www.jiaokey.com/tag/苏联国家银行的结算帐户与往来帐户.html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