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</w:t>
      </w:r>
    </w:p>
    <w:p>
      <w:r>
        <w:rPr>
          <w:rFonts w:ascii="宋体" w:hAnsi="宋体" w:eastAsia="宋体"/>
          <w:sz w:val="24"/>
        </w:rPr>
        <w:t>（苏）普沙列娃（Е.Н.Псарева）等著；余学熙译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（苏）普沙列娃（Е.Н.Псарева）等著；余学熙译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本书出售、求购地址：https://www.jiaokey.com/book/detail/11228799.html</w:t>
      </w:r>
    </w:p>
    <w:p>
      <w:r>
        <w:t>更多相关图书推荐：https://www.jiaokey.com</w:t>
      </w:r>
    </w:p>
    <w:p>
      <w:r>
        <w:t>（苏）普沙列娃（Е.Н.Псарева）等著；余学熙译 其他作品：https://www.jiaokey.com/tag/（苏）普沙列娃（Е.Н.Псарева）等著；余学熙译.html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