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鱼类学和渔业问题</w:t>
      </w:r>
    </w:p>
    <w:p>
      <w:r>
        <w:rPr>
          <w:rFonts w:ascii="宋体" w:hAnsi="宋体" w:eastAsia="宋体"/>
          <w:sz w:val="24"/>
        </w:rPr>
        <w:t>（苏）瓦斯涅错夫（В.В.Васнецов）等著；何志辉译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鱼类学和渔业问题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（苏）瓦斯涅错夫（В.В.Васнецов）等著；何志辉译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本书出售、求购地址：https://www.jiaokey.com/book/detail/11227407.html</w:t>
      </w:r>
    </w:p>
    <w:p>
      <w:r>
        <w:t>更多相关图书推荐：https://www.jiaokey.com</w:t>
      </w:r>
    </w:p>
    <w:p>
      <w:r>
        <w:t>（苏）瓦斯涅错夫（В.В.Васнецов）等著；何志辉译 其他作品：https://www.jiaokey.com/tag/（苏）瓦斯涅错夫（В.В.Васнецов）等著；何志辉译.html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关键词搜索：https://www.jiaokey.com/tag/鱼类学和渔业问题.html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