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田间作物农业技术</w:t>
      </w:r>
    </w:p>
    <w:p>
      <w:r>
        <w:rPr>
          <w:rFonts w:ascii="宋体" w:hAnsi="宋体" w:eastAsia="宋体"/>
          <w:sz w:val="24"/>
        </w:rPr>
        <w:t>（苏）亚库什金（И.В.Якушкин）等编；南京农学院达尔文主义遗传选种教研组，机农通报社译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田间作物农业技术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（苏）亚库什金（И.В.Якушкин）等编；南京农学院达尔文主义遗传选种教研组，机农通报社译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本书出售、求购地址：https://www.jiaokey.com/book/detail/11227291.html</w:t>
      </w:r>
    </w:p>
    <w:p>
      <w:r>
        <w:t>更多相关图书推荐：https://www.jiaokey.com</w:t>
      </w:r>
    </w:p>
    <w:p>
      <w:r>
        <w:t>（苏）亚库什金（И.В.Якушкин）等编；南京农学院达尔文主义遗传选种教研组，机农通报社译 其他作品：https://www.jiaokey.com/tag/（苏）亚库什金（И.В.Якушкин）等编；南京农学院达尔文主义遗传选种教研组，机农通报社译.html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关键词搜索：https://www.jiaokey.com/tag/田间作物农业技术.html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