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钢管截面的结构应用</w:t>
      </w:r>
    </w:p>
    <w:p>
      <w:r>
        <w:rPr>
          <w:rFonts w:ascii="宋体" w:hAnsi="宋体" w:eastAsia="宋体"/>
          <w:sz w:val="24"/>
        </w:rPr>
        <w:t>（荷）J.沃登尼尔（J.Wardenier）著；张其林，刘大康译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钢管截面的结构应用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（荷）J.沃登尼尔（J.Wardenier）著；张其林，刘大康译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本书出售、求购地址：https://www.jiaokey.com/book/detail/11223087.html</w:t>
      </w:r>
    </w:p>
    <w:p>
      <w:r>
        <w:t>更多相关图书推荐：https://www.jiaokey.com</w:t>
      </w:r>
    </w:p>
    <w:p>
      <w:r>
        <w:t>（荷）J.沃登尼尔（J.Wardenier）著；张其林，刘大康译 其他作品：https://www.jiaokey.com/tag/（荷）J.沃登尼尔（J.Wardenier）著；张其林，刘大康译.html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关键词搜索：https://www.jiaokey.com/tag/钢管截面的结构应用.html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