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百年盈利  15家连续百年盈利分红企业的制胜法则</w:t>
      </w:r>
    </w:p>
    <w:p>
      <w:r>
        <w:rPr>
          <w:rFonts w:ascii="宋体" w:hAnsi="宋体" w:eastAsia="宋体"/>
          <w:sz w:val="24"/>
        </w:rPr>
        <w:t>（美）路易斯·格罗斯曼（Louis Grossman），（美）玛丽安·M.詹宁斯（Marianne M. Jennings）著；方海萍，魏清江等译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百年盈利  15家连续百年盈利分红企业的制胜法则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（美）路易斯·格罗斯曼（Louis Grossman），（美）玛丽安·M.詹宁斯（Marianne M. Jennings）著；方海萍，魏清江等译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本书出售、求购地址：https://www.jiaokey.com/book/detail/11221006.html</w:t>
      </w:r>
    </w:p>
    <w:p>
      <w:r>
        <w:t>更多相关图书推荐：https://www.jiaokey.com</w:t>
      </w:r>
    </w:p>
    <w:p>
      <w:r>
        <w:t>（美）路易斯·格罗斯曼（Louis Grossman），（美）玛丽安·M.詹宁斯（Marianne M. Jennings）著；方海萍，魏清江等译 其他作品：https://www.jiaokey.com/tag/（美）路易斯·格罗斯曼（Louis Grossman），（美）玛丽安·M.詹宁斯（Marianne M. Jennings）著；方海萍，魏清江等译.html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关键词搜索：https://www.jiaokey.com/tag/百年盈利  15家连续百年盈利分红企业的制胜法则.html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