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  掌握人心、成功管理  的活性经营术  三国人物领导者必备的企业经营秘诀</w:t>
      </w:r>
    </w:p>
    <w:p>
      <w:r>
        <w:rPr>
          <w:rFonts w:ascii="宋体" w:hAnsi="宋体" w:eastAsia="宋体"/>
          <w:sz w:val="24"/>
        </w:rPr>
        <w:t>谭良啸著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  掌握人心、成功管理  的活性经营术  三国人物领导者必备的企业经营秘诀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本书出售、求购地址：https://www.jiaokey.com/book/detail/11220430.html</w:t>
      </w:r>
    </w:p>
    <w:p>
      <w:r>
        <w:t>更多相关图书推荐：https://www.jiaokey.com</w:t>
      </w:r>
    </w:p>
    <w:p>
      <w:r>
        <w:t>谭良啸著 其他作品：https://www.jiaokey.com/tag/谭良啸著.html</w:t>
      </w:r>
    </w:p>
    <w:p>
      <w:r>
        <w:t>神机文化事业有限公司 出版图书：https://www.jiaokey.com/tag/神机文化事业有限公司.html</w:t>
      </w:r>
    </w:p>
    <w:p>
      <w:r>
        <w:t>关键词搜索：https://www.jiaokey.com/tag/三国人物  掌握人心、成功管理  的活性经营术  三国人物领导者必备的企业经营秘诀.html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