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明天的饭碗在哪里  天之骄子成了天之“焦”子？</w:t>
      </w:r>
    </w:p>
    <w:p>
      <w:r>
        <w:rPr>
          <w:rFonts w:ascii="宋体" w:hAnsi="宋体" w:eastAsia="宋体"/>
          <w:sz w:val="24"/>
        </w:rPr>
        <w:t>姜静波著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明天的饭碗在哪里  天之骄子成了天之“焦”子？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本书出售、求购地址：https://www.jiaokey.com/book/detail/11219393.html</w:t>
      </w:r>
    </w:p>
    <w:p>
      <w:r>
        <w:t>更多相关图书推荐：https://www.jiaokey.com</w:t>
      </w:r>
    </w:p>
    <w:p>
      <w:r>
        <w:t>姜静波著 其他作品：https://www.jiaokey.com/tag/姜静波著.html</w:t>
      </w:r>
    </w:p>
    <w:p>
      <w:r>
        <w:t>北京市：当代世界出版社 出版图书：https://www.jiaokey.com/tag/北京市：当代世界出版社.html</w:t>
      </w:r>
    </w:p>
    <w:p>
      <w:r>
        <w:t>关键词搜索：https://www.jiaokey.com/tag/明天的饭碗在哪里  天之骄子成了天之“焦”子？.html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