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永恒的财富  黄金消费投资实用知识手册</w:t>
      </w:r>
    </w:p>
    <w:p>
      <w:r>
        <w:rPr>
          <w:rFonts w:ascii="宋体" w:hAnsi="宋体" w:eastAsia="宋体"/>
          <w:sz w:val="24"/>
        </w:rPr>
        <w:t>邵运杰，何双及编著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永恒的财富  黄金消费投资实用知识手册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邵运杰，何双及编著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本书出售、求购地址：https://www.jiaokey.com/book/detail/11218403.html</w:t>
      </w:r>
    </w:p>
    <w:p>
      <w:r>
        <w:t>更多相关图书推荐：https://www.jiaokey.com</w:t>
      </w:r>
    </w:p>
    <w:p>
      <w:r>
        <w:t>邵运杰，何双及编著 其他作品：https://www.jiaokey.com/tag/邵运杰，何双及编著.html</w:t>
      </w:r>
    </w:p>
    <w:p>
      <w:r>
        <w:t>北京：中国物价出版社 出版图书：https://www.jiaokey.com/tag/北京：中国物价出版社.html</w:t>
      </w:r>
    </w:p>
    <w:p>
      <w:r>
        <w:t>关键词搜索：https://www.jiaokey.com/tag/永恒的财富  黄金消费投资实用知识手册.html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