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审美教育问题</w:t>
      </w:r>
    </w:p>
    <w:p>
      <w:r>
        <w:rPr>
          <w:rFonts w:ascii="宋体" w:hAnsi="宋体" w:eastAsia="宋体"/>
          <w:sz w:val="24"/>
        </w:rPr>
        <w:t>（苏）尼·阿·德米特里耶娃（Н.А.Дмитриева）著；冯湘一译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（苏）尼·阿·德米特里耶娃（Н.А.Дмитриева）著；冯湘一译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审美分析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本书出售、求购地址：https://www.jiaokey.com/book/detail/11217330.html</w:t>
      </w:r>
    </w:p>
    <w:p>
      <w:r>
        <w:t>更多相关图书推荐：https://www.jiaokey.com</w:t>
      </w:r>
    </w:p>
    <w:p>
      <w:r>
        <w:t>（苏）尼·阿·德米特里耶娃（Н.А.Дмитриева）著；冯湘一译 其他作品：https://www.jiaokey.com/tag/（苏）尼·阿·德米特里耶娃（Н.А.Дмитриева）著；冯湘一译.html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关键词搜索：https://www.jiaokey.com/tag/审美分析.html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