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动物的行为</w:t>
      </w:r>
    </w:p>
    <w:p>
      <w:r>
        <w:rPr>
          <w:rFonts w:ascii="宋体" w:hAnsi="宋体" w:eastAsia="宋体"/>
          <w:sz w:val="24"/>
        </w:rPr>
        <w:t>（意）乔斯普·玛丽亚·卡潘尼多（Giuseppe Maria Carpaneto）著；（意）吉安·保罗·法莱斯基尼（Gian Paolo Faleschini）绘图 吴黎明译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（意）乔斯普·玛丽亚·卡潘尼多（Giuseppe Maria Carpaneto）著；（意）吉安·保罗·法莱斯基尼（Gian Paolo Faleschini）绘图 吴黎明译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本书出售、求购地址：https://www.jiaokey.com/book/detail/11216356.html</w:t>
      </w:r>
    </w:p>
    <w:p>
      <w:r>
        <w:t>更多相关图书推荐：https://www.jiaokey.com</w:t>
      </w:r>
    </w:p>
    <w:p>
      <w:r>
        <w:t>（意）乔斯普·玛丽亚·卡潘尼多（Giuseppe Maria Carpaneto）著；（意）吉安·保罗·法莱斯基尼（Gian Paolo Faleschini）绘图 吴黎明译 其他作品：https://www.jiaokey.com/tag/（意）乔斯普·玛丽亚·卡潘尼多（Giuseppe Maria Carpaneto）著；（意）吉安·保罗·法莱斯基尼（Gian Paolo Faleschini）绘图 吴黎明译.html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