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小学作文参照量表</w:t>
      </w:r>
    </w:p>
    <w:p>
      <w:r>
        <w:rPr>
          <w:rFonts w:ascii="宋体" w:hAnsi="宋体" w:eastAsia="宋体"/>
          <w:sz w:val="24"/>
        </w:rPr>
        <w:t>赵保纬，陈静逊，朱蓓莉，唐肖腴，刁玉琴，钱勤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小学作文参照量表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赵保纬，陈静逊，朱蓓莉，唐肖腴，刁玉琴，钱勤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本书出售、求购地址：https://www.jiaokey.com/book/detail/11214941.html</w:t>
      </w:r>
    </w:p>
    <w:p>
      <w:r>
        <w:t>更多相关图书推荐：https://www.jiaokey.com</w:t>
      </w:r>
    </w:p>
    <w:p>
      <w:r>
        <w:t>赵保纬，陈静逊，朱蓓莉，唐肖腴，刁玉琴，钱勤 其他作品：https://www.jiaokey.com/tag/赵保纬，陈静逊，朱蓓莉，唐肖腴，刁玉琴，钱勤.html</w:t>
      </w:r>
    </w:p>
    <w:p>
      <w:r>
        <w:t>关键词搜索：https://www.jiaokey.com/tag/小学作文参照量表.html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