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国有商业银行改革制度安排与路径选择</w:t>
      </w:r>
    </w:p>
    <w:p>
      <w:r>
        <w:rPr>
          <w:rFonts w:ascii="宋体" w:hAnsi="宋体" w:eastAsia="宋体"/>
          <w:sz w:val="24"/>
        </w:rPr>
        <w:t>黄湃  王桂堂著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国有商业银行改革制度安排与路径选择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黄湃  王桂堂著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本书出售、求购地址：https://www.jiaokey.com/book/detail/11213287.html</w:t>
      </w:r>
    </w:p>
    <w:p>
      <w:r>
        <w:t>更多相关图书推荐：https://www.jiaokey.com</w:t>
      </w:r>
    </w:p>
    <w:p>
      <w:r>
        <w:t>黄湃  王桂堂著 其他作品：https://www.jiaokey.com/tag/黄湃  王桂堂著.html</w:t>
      </w:r>
    </w:p>
    <w:p>
      <w:r>
        <w:t>经济科学出版社 出版图书：https://www.jiaokey.com/tag/经济科学出版社.html</w:t>
      </w:r>
    </w:p>
    <w:p>
      <w:r>
        <w:t>关键词搜索：https://www.jiaokey.com/tag/国有商业银行改革制度安排与路径选择.html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