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初中数学基础知识与例题分析</w:t>
      </w:r>
    </w:p>
    <w:p>
      <w:r>
        <w:rPr>
          <w:rFonts w:ascii="宋体" w:hAnsi="宋体" w:eastAsia="宋体"/>
          <w:sz w:val="24"/>
        </w:rPr>
        <w:t>任中文，段炳燮，蒋佩锦，韩玉琴，乔家端，陈俊辉，刘绍贞，张鸿菊编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初中数学基础知识与例题分析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任中文，段炳燮，蒋佩锦，韩玉琴，乔家端，陈俊辉，刘绍贞，张鸿菊编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本书出售、求购地址：https://www.jiaokey.com/book/detail/11212630.html</w:t>
      </w:r>
    </w:p>
    <w:p>
      <w:r>
        <w:t>更多相关图书推荐：https://www.jiaokey.com</w:t>
      </w:r>
    </w:p>
    <w:p>
      <w:r>
        <w:t>任中文，段炳燮，蒋佩锦，韩玉琴，乔家端，陈俊辉，刘绍贞，张鸿菊编 其他作品：https://www.jiaokey.com/tag/任中文，段炳燮，蒋佩锦，韩玉琴，乔家端，陈俊辉，刘绍贞，张鸿菊编.html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关键词搜索：https://www.jiaokey.com/tag/初中数学基础知识与例题分析.html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