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走别人不敢走的路  因材施教的放任主义</w:t>
      </w:r>
    </w:p>
    <w:p>
      <w:r>
        <w:rPr>
          <w:rFonts w:ascii="宋体" w:hAnsi="宋体" w:eastAsia="宋体"/>
          <w:sz w:val="24"/>
        </w:rPr>
        <w:t>（日）羽仁进著；舒展译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走别人不敢走的路  因材施教的放任主义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（日）羽仁进著；舒展译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新路出版有限公司-园丁生活房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本书出售、求购地址：https://www.jiaokey.com/book/detail/11210162.html</w:t>
      </w:r>
    </w:p>
    <w:p>
      <w:r>
        <w:t>更多相关图书推荐：https://www.jiaokey.com</w:t>
      </w:r>
    </w:p>
    <w:p>
      <w:r>
        <w:t>（日）羽仁进著；舒展译 其他作品：https://www.jiaokey.com/tag/（日）羽仁进著；舒展译.html</w:t>
      </w:r>
    </w:p>
    <w:p>
      <w:r>
        <w:t>新路出版有限公司-园丁生活房 出版图书：https://www.jiaokey.com/tag/新路出版有限公司-园丁生活房.html</w:t>
      </w:r>
    </w:p>
    <w:p>
      <w:r>
        <w:t>关键词搜索：https://www.jiaokey.com/tag/走别人不敢走的路  因材施教的放任主义.html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