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轻逸与沉重之间  “现代性”问题视野中的“新浪漫派”文学</w:t>
      </w:r>
    </w:p>
    <w:p>
      <w:r>
        <w:rPr>
          <w:rFonts w:ascii="宋体" w:hAnsi="宋体" w:eastAsia="宋体"/>
          <w:sz w:val="24"/>
        </w:rPr>
        <w:t>耿传明著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轻逸与沉重之间  “现代性”问题视野中的“新浪漫派”文学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耿传明著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本书出售、求购地址：https://www.jiaokey.com/book/detail/11208842.html</w:t>
      </w:r>
    </w:p>
    <w:p>
      <w:r>
        <w:t>更多相关图书推荐：https://www.jiaokey.com</w:t>
      </w:r>
    </w:p>
    <w:p>
      <w:r>
        <w:t>耿传明著 其他作品：https://www.jiaokey.com/tag/耿传明著.html</w:t>
      </w:r>
    </w:p>
    <w:p>
      <w:r>
        <w:t>天津市：南开大学出版社 出版图书：https://www.jiaokey.com/tag/天津市：南开大学出版社.html</w:t>
      </w:r>
    </w:p>
    <w:p>
      <w:r>
        <w:t>关键词搜索：https://www.jiaokey.com/tag/轻逸与沉重之间  “现代性”问题视野中的“新浪漫派”文学.html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