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改善阿脱皮性过敏体质</w:t>
      </w:r>
    </w:p>
    <w:p>
      <w:r>
        <w:rPr>
          <w:rFonts w:ascii="宋体" w:hAnsi="宋体" w:eastAsia="宋体"/>
          <w:sz w:val="24"/>
        </w:rPr>
        <w:t>汪先恩著；华北制药集团新药研究开发中心译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改善阿脱皮性过敏体质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汪先恩著；华北制药集团新药研究开发中心译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本书出售、求购地址：https://www.jiaokey.com/book/detail/11207943.html</w:t>
      </w:r>
    </w:p>
    <w:p>
      <w:r>
        <w:t>更多相关图书推荐：https://www.jiaokey.com</w:t>
      </w:r>
    </w:p>
    <w:p>
      <w:r>
        <w:t>汪先恩著；华北制药集团新药研究开发中心译 其他作品：https://www.jiaokey.com/tag/汪先恩著；华北制药集团新药研究开发中心译.html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关键词搜索：https://www.jiaokey.com/tag/改善阿脱皮性过敏体质.html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