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不锈钢与建筑</w:t>
      </w:r>
    </w:p>
    <w:p>
      <w:r>
        <w:rPr>
          <w:rFonts w:ascii="宋体" w:hAnsi="宋体" w:eastAsia="宋体"/>
          <w:sz w:val="24"/>
        </w:rPr>
        <w:t>（芬）埃斯科·米耶蒂宁，（芬）奇希·泰瓦兰提著；王爱英，李伟译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（芬）埃斯科·米耶蒂宁，（芬）奇希·泰瓦兰提著；王爱英，李伟译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本书出售、求购地址：https://www.jiaokey.com/book/detail/11207470.html</w:t>
      </w:r>
    </w:p>
    <w:p>
      <w:r>
        <w:t>更多相关图书推荐：https://www.jiaokey.com</w:t>
      </w:r>
    </w:p>
    <w:p>
      <w:r>
        <w:t>（芬）埃斯科·米耶蒂宁，（芬）奇希·泰瓦兰提著；王爱英，李伟译 其他作品：https://www.jiaokey.com/tag/（芬）埃斯科·米耶蒂宁，（芬）奇希·泰瓦兰提著；王爱英，李伟译.html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关键词搜索：https://www.jiaokey.com/tag/不锈钢与建筑.html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