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新型契约与消费者保护法</w:t>
      </w:r>
    </w:p>
    <w:p>
      <w:r>
        <w:rPr>
          <w:rFonts w:ascii="宋体" w:hAnsi="宋体" w:eastAsia="宋体"/>
          <w:sz w:val="24"/>
        </w:rPr>
        <w:t>杨淑文著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新型契约与消费者保护法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本书出售、求购地址：https://www.jiaokey.com/book/detail/11196229.html</w:t>
      </w:r>
    </w:p>
    <w:p>
      <w:r>
        <w:t>更多相关图书推荐：https://www.jiaokey.com</w:t>
      </w:r>
    </w:p>
    <w:p>
      <w:r>
        <w:t>杨淑文著 其他作品：https://www.jiaokey.com/tag/杨淑文著.html</w:t>
      </w:r>
    </w:p>
    <w:p>
      <w:r>
        <w:t>北京市：中国政法大学出版社 出版图书：https://www.jiaokey.com/tag/北京市：中国政法大学出版社.html</w:t>
      </w:r>
    </w:p>
    <w:p>
      <w:r>
        <w:t>关键词搜索：https://www.jiaokey.com/tag/新型契约与消费者保护法.html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