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孤竹风-引青济秦专号</w:t>
      </w:r>
    </w:p>
    <w:p>
      <w:r>
        <w:rPr>
          <w:rFonts w:ascii="宋体" w:hAnsi="宋体" w:eastAsia="宋体"/>
          <w:sz w:val="24"/>
        </w:rPr>
        <w:t>河北省卢龙县文联编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孤竹风-引青济秦专号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河北省卢龙县文联编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本书出售、求购地址：https://www.jiaokey.com/book/detail/11194601.html</w:t>
      </w:r>
    </w:p>
    <w:p>
      <w:r>
        <w:t>更多相关图书推荐：https://www.jiaokey.com</w:t>
      </w:r>
    </w:p>
    <w:p>
      <w:r>
        <w:t>河北省卢龙县文联编 其他作品：https://www.jiaokey.com/tag/河北省卢龙县文联编.html</w:t>
      </w:r>
    </w:p>
    <w:p>
      <w:r>
        <w:t>关键词搜索：https://www.jiaokey.com/tag/孤竹风-引青济秦专号.html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