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主流·乱流·不入流</w:t>
      </w:r>
    </w:p>
    <w:p>
      <w:r>
        <w:rPr>
          <w:rFonts w:ascii="宋体" w:hAnsi="宋体" w:eastAsia="宋体"/>
          <w:sz w:val="24"/>
        </w:rPr>
        <w:t>李敖，胡基峻，邓维桢，龙眠等著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主流·乱流·不入流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李敖，胡基峻，邓维桢，龙眠等著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本书出售、求购地址：https://www.jiaokey.com/book/detail/11194249.html</w:t>
      </w:r>
    </w:p>
    <w:p>
      <w:r>
        <w:t>更多相关图书推荐：https://www.jiaokey.com</w:t>
      </w:r>
    </w:p>
    <w:p>
      <w:r>
        <w:t>李敖，胡基峻，邓维桢，龙眠等著 其他作品：https://www.jiaokey.com/tag/李敖，胡基峻，邓维桢，龙眠等著.html</w:t>
      </w:r>
    </w:p>
    <w:p>
      <w:r>
        <w:t>关键词搜索：https://www.jiaokey.com/tag/主流·乱流·不入流.html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