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野生动物管理学原理</w:t>
      </w:r>
    </w:p>
    <w:p>
      <w:r>
        <w:rPr>
          <w:rFonts w:ascii="宋体" w:hAnsi="宋体" w:eastAsia="宋体"/>
          <w:sz w:val="24"/>
        </w:rPr>
        <w:t>（美）J·A·贝利著 范志勇，宋延龄译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（美）J·A·贝利著 范志勇，宋延龄译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本书出售、求购地址：https://www.jiaokey.com/book/detail/11192891.html</w:t>
      </w:r>
    </w:p>
    <w:p>
      <w:r>
        <w:t>更多相关图书推荐：https://www.jiaokey.com</w:t>
      </w:r>
    </w:p>
    <w:p>
      <w:r>
        <w:t>（美）J·A·贝利著 范志勇，宋延龄译 其他作品：https://www.jiaokey.com/tag/（美）J·A·贝利著 范志勇，宋延龄译.html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关键词搜索：https://www.jiaokey.com/tag/野生动物管理学原理.html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