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草炭绿化荒漠的实践与机理</w:t>
      </w:r>
    </w:p>
    <w:p>
      <w:r>
        <w:rPr>
          <w:rFonts w:ascii="宋体" w:hAnsi="宋体" w:eastAsia="宋体"/>
          <w:sz w:val="24"/>
        </w:rPr>
        <w:t>王周琼，李述刚，（日）川上敞，新岛靖雄等著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草炭绿化荒漠的实践与机理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王周琼，李述刚，（日）川上敞，新岛靖雄等著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本书出售、求购地址：https://www.jiaokey.com/book/detail/11189256.html</w:t>
      </w:r>
    </w:p>
    <w:p>
      <w:r>
        <w:t>更多相关图书推荐：https://www.jiaokey.com</w:t>
      </w:r>
    </w:p>
    <w:p>
      <w:r>
        <w:t>王周琼，李述刚，（日）川上敞，新岛靖雄等著 其他作品：https://www.jiaokey.com/tag/王周琼，李述刚，（日）川上敞，新岛靖雄等著.html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关键词搜索：https://www.jiaokey.com/tag/草炭绿化荒漠的实践与机理.html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