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敌百虫  杀虫性能及用途</w:t>
      </w:r>
    </w:p>
    <w:p>
      <w:r>
        <w:rPr>
          <w:rFonts w:ascii="宋体" w:hAnsi="宋体" w:eastAsia="宋体"/>
          <w:sz w:val="24"/>
        </w:rPr>
        <w:t>（苏）瓦什科夫，В.И.，什耐德尔，Е.В.著；张立言译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敌百虫  杀虫性能及用途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（苏）瓦什科夫，В.И.，什耐德尔，Е.В.著；张立言译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本书出售、求购地址：https://www.jiaokey.com/book/detail/11188676.html</w:t>
      </w:r>
    </w:p>
    <w:p>
      <w:r>
        <w:t>更多相关图书推荐：https://www.jiaokey.com</w:t>
      </w:r>
    </w:p>
    <w:p>
      <w:r>
        <w:t>（苏）瓦什科夫，В.И.，什耐德尔，Е.В.著；张立言译 其他作品：https://www.jiaokey.com/tag/（苏）瓦什科夫，В.И.，什耐德尔，Е.В.著；张立言译.html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关键词搜索：https://www.jiaokey.com/tag/敌百虫  杀虫性能及用途.html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