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湿地公约履约指南</w:t>
      </w:r>
    </w:p>
    <w:p>
      <w:r>
        <w:rPr>
          <w:rFonts w:ascii="宋体" w:hAnsi="宋体" w:eastAsia="宋体"/>
          <w:sz w:val="24"/>
        </w:rPr>
        <w:t>张建龙主编；国家林业局《湿地公约》履约办公室编译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湿地公约履约指南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张建龙主编；国家林业局《湿地公约》履约办公室编译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本书出售、求购地址：https://www.jiaokey.com/book/detail/11187163.html</w:t>
      </w:r>
    </w:p>
    <w:p>
      <w:r>
        <w:t>更多相关图书推荐：https://www.jiaokey.com</w:t>
      </w:r>
    </w:p>
    <w:p>
      <w:r>
        <w:t>张建龙主编；国家林业局《湿地公约》履约办公室编译 其他作品：https://www.jiaokey.com/tag/张建龙主编；国家林业局《湿地公约》履约办公室编译.html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关键词搜索：https://www.jiaokey.com/tag/湿地公约履约指南.html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