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国外大地构造与成矿学  第2号  成矿分析原理</w:t>
      </w:r>
    </w:p>
    <w:p>
      <w:r>
        <w:rPr>
          <w:rFonts w:ascii="宋体" w:hAnsi="宋体" w:eastAsia="宋体"/>
          <w:sz w:val="24"/>
        </w:rPr>
        <w:t>（苏）А.Д.谢格洛夫著；叶敬仁译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国外大地构造与成矿学  第2号  成矿分析原理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（苏）А.Д.谢格洛夫著；叶敬仁译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本书出售、求购地址：https://www.jiaokey.com/book/detail/11184753.html</w:t>
      </w:r>
    </w:p>
    <w:p>
      <w:r>
        <w:t>更多相关图书推荐：https://www.jiaokey.com</w:t>
      </w:r>
    </w:p>
    <w:p>
      <w:r>
        <w:t>（苏）А.Д.谢格洛夫著；叶敬仁译 其他作品：https://www.jiaokey.com/tag/（苏）А.Д.谢格洛夫著；叶敬仁译.html</w:t>
      </w:r>
    </w:p>
    <w:p>
      <w:r>
        <w:t>关键词搜索：https://www.jiaokey.com/tag/国外大地构造与成矿学  第2号  成矿分析原理.html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