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丝维板牙标准图表</w:t>
      </w:r>
    </w:p>
    <w:p>
      <w:r>
        <w:rPr>
          <w:rFonts w:ascii="宋体" w:hAnsi="宋体" w:eastAsia="宋体"/>
          <w:sz w:val="24"/>
        </w:rPr>
        <w:t>伏罗别夫  卡尔采夫合编  王学孟  樊书元合译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丝维板牙标准图表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伏罗别夫  卡尔采夫合编  王学孟  樊书元合译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本书出售、求购地址：https://www.jiaokey.com/book/detail/11183654.html</w:t>
      </w:r>
    </w:p>
    <w:p>
      <w:r>
        <w:t>更多相关图书推荐：https://www.jiaokey.com</w:t>
      </w:r>
    </w:p>
    <w:p>
      <w:r>
        <w:t>伏罗别夫  卡尔采夫合编  王学孟  樊书元合译 其他作品：https://www.jiaokey.com/tag/伏罗别夫  卡尔采夫合编  王学孟  樊书元合译.html</w:t>
      </w:r>
    </w:p>
    <w:p>
      <w:r>
        <w:t>机械工业出版社 出版图书：https://www.jiaokey.com/tag/机械工业出版社.html</w:t>
      </w:r>
    </w:p>
    <w:p>
      <w:r>
        <w:t>关键词搜索：https://www.jiaokey.com/tag/丝维板牙标准图表.html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