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企业经营11条戒律  21世纪企业战略抉择</w:t>
      </w:r>
    </w:p>
    <w:p>
      <w:r>
        <w:rPr>
          <w:rFonts w:ascii="宋体" w:hAnsi="宋体" w:eastAsia="宋体"/>
          <w:sz w:val="24"/>
        </w:rPr>
        <w:t>（加拿大）马修J·齐尔南著；薄景山，杜艳春，杨晖译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企业经营11条戒律  21世纪企业战略抉择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（加拿大）马修J·齐尔南著；薄景山，杜艳春，杨晖译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本书出售、求购地址：https://www.jiaokey.com/book/detail/11180535.html</w:t>
      </w:r>
    </w:p>
    <w:p>
      <w:r>
        <w:t>更多相关图书推荐：https://www.jiaokey.com</w:t>
      </w:r>
    </w:p>
    <w:p>
      <w:r>
        <w:t>（加拿大）马修J·齐尔南著；薄景山，杜艳春，杨晖译 其他作品：https://www.jiaokey.com/tag/（加拿大）马修J·齐尔南著；薄景山，杜艳春，杨晖译.html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关键词搜索：https://www.jiaokey.com/tag/企业经营11条戒律  21世纪企业战略抉择.html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