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有色金属和合金的压力加工</w:t>
      </w:r>
    </w:p>
    <w:p>
      <w:r>
        <w:rPr>
          <w:rFonts w:ascii="宋体" w:hAnsi="宋体" w:eastAsia="宋体"/>
          <w:sz w:val="24"/>
        </w:rPr>
        <w:t>（苏）谢尔裘科夫（В.Г.Сердюков），（苏）齐尔什（Я.Я.Цирш）著；中华人民共和国重工业部工业教育司译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有色金属和合金的压力加工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（苏）谢尔裘科夫（В.Г.Сердюков），（苏）齐尔什（Я.Я.Цирш）著；中华人民共和国重工业部工业教育司译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本书出售、求购地址：https://www.jiaokey.com/book/detail/11176989.html</w:t>
      </w:r>
    </w:p>
    <w:p>
      <w:r>
        <w:t>更多相关图书推荐：https://www.jiaokey.com</w:t>
      </w:r>
    </w:p>
    <w:p>
      <w:r>
        <w:t>（苏）谢尔裘科夫（В.Г.Сердюков），（苏）齐尔什（Я.Я.Цирш）著；中华人民共和国重工业部工业教育司译 其他作品：https://www.jiaokey.com/tag/（苏）谢尔裘科夫（В.Г.Сердюков），（苏）齐尔什（Я.Я.Цирш）著；中华人民共和国重工业部工业教育司译.html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关键词搜索：https://www.jiaokey.com/tag/有色金属和合金的压力加工.html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