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图书馆发挥“第二课堂”的作用  开展服务育人工作的报告</w:t>
      </w:r>
    </w:p>
    <w:p>
      <w:r>
        <w:rPr>
          <w:rFonts w:ascii="宋体" w:hAnsi="宋体" w:eastAsia="宋体"/>
          <w:sz w:val="24"/>
        </w:rPr>
        <w:t>中央工艺美术学院图书馆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图书馆发挥“第二课堂”的作用  开展服务育人工作的报告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中央工艺美术学院图书馆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本书出售、求购地址：https://www.jiaokey.com/book/detail/11175074.html</w:t>
      </w:r>
    </w:p>
    <w:p>
      <w:r>
        <w:t>更多相关图书推荐：https://www.jiaokey.com</w:t>
      </w:r>
    </w:p>
    <w:p>
      <w:r>
        <w:t>中央工艺美术学院图书馆 其他作品：https://www.jiaokey.com/tag/中央工艺美术学院图书馆.html</w:t>
      </w:r>
    </w:p>
    <w:p>
      <w:r>
        <w:t>关键词搜索：https://www.jiaokey.com/tag/图书馆发挥“第二课堂”的作用  开展服务育人工作的报告.html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