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报仇</w:t>
      </w:r>
    </w:p>
    <w:p>
      <w:r>
        <w:rPr>
          <w:rFonts w:ascii="宋体" w:hAnsi="宋体" w:eastAsia="宋体"/>
          <w:sz w:val="24"/>
        </w:rPr>
        <w:t>（苏）法捷也夫撰；杨永译；何公超主编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（苏）法捷也夫撰；杨永译；何公超主编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本书出售、求购地址：https://www.jiaokey.com/book/detail/11173832.html</w:t>
      </w:r>
    </w:p>
    <w:p>
      <w:r>
        <w:t>更多相关图书推荐：https://www.jiaokey.com</w:t>
      </w:r>
    </w:p>
    <w:p>
      <w:r>
        <w:t>（苏）法捷也夫撰；杨永译；何公超主编 其他作品：https://www.jiaokey.com/tag/（苏）法捷也夫撰；杨永译；何公超主编.html</w:t>
      </w:r>
    </w:p>
    <w:p>
      <w:r>
        <w:t>光芒出版社 出版图书：https://www.jiaokey.com/tag/光芒出版社.html</w:t>
      </w:r>
    </w:p>
    <w:p>
      <w:r>
        <w:t>关键词搜索：https://www.jiaokey.com/tag/报仇.html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