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巴赫后裔作品</w:t>
      </w:r>
    </w:p>
    <w:p>
      <w:r>
        <w:rPr>
          <w:rFonts w:ascii="宋体" w:hAnsi="宋体" w:eastAsia="宋体"/>
          <w:sz w:val="24"/>
        </w:rPr>
        <w:t>（匈）伊斯特万·玛利亚西，（匈）格奥尔基·米克罗斯编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巴赫后裔作品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（匈）伊斯特万·玛利亚西，（匈）格奥尔基·米克罗斯编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本书出售、求购地址：https://www.jiaokey.com/book/detail/11172128.html</w:t>
      </w:r>
    </w:p>
    <w:p>
      <w:r>
        <w:t>更多相关图书推荐：https://www.jiaokey.com</w:t>
      </w:r>
    </w:p>
    <w:p>
      <w:r>
        <w:t>（匈）伊斯特万·玛利亚西，（匈）格奥尔基·米克罗斯编 其他作品：https://www.jiaokey.com/tag/（匈）伊斯特万·玛利亚西，（匈）格奥尔基·米克罗斯编.html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巴赫后裔作品.html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