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巴赫赋格的艺术</w:t>
      </w:r>
    </w:p>
    <w:p>
      <w:r>
        <w:rPr>
          <w:rFonts w:ascii="宋体" w:hAnsi="宋体" w:eastAsia="宋体"/>
          <w:sz w:val="24"/>
        </w:rPr>
        <w:t>（德）巴赫曲；（德）达维特·莫罗奈校订；杨儒怀译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巴赫赋格的艺术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（德）巴赫曲；（德）达维特·莫罗奈校订；杨儒怀译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本书出售、求购地址：https://www.jiaokey.com/book/detail/11172072.html</w:t>
      </w:r>
    </w:p>
    <w:p>
      <w:r>
        <w:t>更多相关图书推荐：https://www.jiaokey.com</w:t>
      </w:r>
    </w:p>
    <w:p>
      <w:r>
        <w:t>（德）巴赫曲；（德）达维特·莫罗奈校订；杨儒怀译 其他作品：https://www.jiaokey.com/tag/（德）巴赫曲；（德）达维特·莫罗奈校订；杨儒怀译.html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关键词搜索：https://www.jiaokey.com/tag/巴赫赋格的艺术.html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