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无轨电车的构造和计算</w:t>
      </w:r>
    </w:p>
    <w:p>
      <w:r>
        <w:rPr>
          <w:rFonts w:ascii="宋体" w:hAnsi="宋体" w:eastAsia="宋体"/>
          <w:sz w:val="24"/>
        </w:rPr>
        <w:t>（苏）叶佛连莫夫，И.С.，（苏）马尔柯夫尼柯夫，В.Л.著；北京市交通运输局基本建设工程处设计室译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无轨电车的构造和计算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（苏）叶佛连莫夫，И.С.，（苏）马尔柯夫尼柯夫，В.Л.著；北京市交通运输局基本建设工程处设计室译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本书出售、求购地址：https://www.jiaokey.com/book/detail/11168631.html</w:t>
      </w:r>
    </w:p>
    <w:p>
      <w:r>
        <w:t>更多相关图书推荐：https://www.jiaokey.com</w:t>
      </w:r>
    </w:p>
    <w:p>
      <w:r>
        <w:t>（苏）叶佛连莫夫，И.С.，（苏）马尔柯夫尼柯夫，В.Л.著；北京市交通运输局基本建设工程处设计室译 其他作品：https://www.jiaokey.com/tag/（苏）叶佛连莫夫，И.С.，（苏）马尔柯夫尼柯夫，В.Л.著；北京市交通运输局基本建设工程处设计室译.html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关键词搜索：https://www.jiaokey.com/tag/无轨电车的构造和计算.html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