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铁路通信枢纽站新供电法</w:t>
      </w:r>
    </w:p>
    <w:p>
      <w:r>
        <w:rPr>
          <w:rFonts w:ascii="宋体" w:hAnsi="宋体" w:eastAsia="宋体"/>
          <w:sz w:val="24"/>
        </w:rPr>
        <w:t>（苏）菲里德曼（А.Б.Фельдман）撰；中央人民政府铁道部翻译处译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铁路通信枢纽站新供电法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（苏）菲里德曼（А.Б.Фельдман）撰；中央人民政府铁道部翻译处译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本书出售、求购地址：https://www.jiaokey.com/book/detail/11168442.html</w:t>
      </w:r>
    </w:p>
    <w:p>
      <w:r>
        <w:t>更多相关图书推荐：https://www.jiaokey.com</w:t>
      </w:r>
    </w:p>
    <w:p>
      <w:r>
        <w:t>（苏）菲里德曼（А.Б.Фельдман）撰；中央人民政府铁道部翻译处译 其他作品：https://www.jiaokey.com/tag/（苏）菲里德曼（А.Б.Фельдман）撰；中央人民政府铁道部翻译处译.html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关键词搜索：https://www.jiaokey.com/tag/铁路通信枢纽站新供电法.html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