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避难线  设计和使用的原则</w:t>
      </w:r>
    </w:p>
    <w:p>
      <w:r>
        <w:rPr>
          <w:rFonts w:ascii="宋体" w:hAnsi="宋体" w:eastAsia="宋体"/>
          <w:sz w:val="24"/>
        </w:rPr>
        <w:t>（苏）古尔格尼则（В.М.Гургенидзе）著；中华人民共和国铁道部设计总局第五设计院译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避难线  设计和使用的原则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（苏）古尔格尼则（В.М.Гургенидзе）著；中华人民共和国铁道部设计总局第五设计院译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本书出售、求购地址：https://www.jiaokey.com/book/detail/11168406.html</w:t>
      </w:r>
    </w:p>
    <w:p>
      <w:r>
        <w:t>更多相关图书推荐：https://www.jiaokey.com</w:t>
      </w:r>
    </w:p>
    <w:p>
      <w:r>
        <w:t>（苏）古尔格尼则（В.М.Гургенидзе）著；中华人民共和国铁道部设计总局第五设计院译 其他作品：https://www.jiaokey.com/tag/（苏）古尔格尼则（В.М.Гургенидзе）著；中华人民共和国铁道部设计总局第五设计院译.html</w:t>
      </w:r>
    </w:p>
    <w:p>
      <w:r>
        <w:t>人民铁道出版社 出版图书：https://www.jiaokey.com/tag/人民铁道出版社.html</w:t>
      </w:r>
    </w:p>
    <w:p>
      <w:r>
        <w:t>关键词搜索：https://www.jiaokey.com/tag/避难线  设计和使用的原则.html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