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工业用模型和非模型橡胶制品的生产</w:t>
      </w:r>
    </w:p>
    <w:p>
      <w:r>
        <w:rPr>
          <w:rFonts w:ascii="宋体" w:hAnsi="宋体" w:eastAsia="宋体"/>
          <w:sz w:val="24"/>
        </w:rPr>
        <w:t>（苏）玛尔顿耶夫（С.Н.Мардоньев），（苏）阿博维扬（М.А.Абовьян）著；欧阳仲寰等译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工业用模型和非模型橡胶制品的生产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（苏）玛尔顿耶夫（С.Н.Мардоньев），（苏）阿博维扬（М.А.Абовьян）著；欧阳仲寰等译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本书出售、求购地址：https://www.jiaokey.com/book/detail/11166168.html</w:t>
      </w:r>
    </w:p>
    <w:p>
      <w:r>
        <w:t>更多相关图书推荐：https://www.jiaokey.com</w:t>
      </w:r>
    </w:p>
    <w:p>
      <w:r>
        <w:t>（苏）玛尔顿耶夫（С.Н.Мардоньев），（苏）阿博维扬（М.А.Абовьян）著；欧阳仲寰等译 其他作品：https://www.jiaokey.com/tag/（苏）玛尔顿耶夫（С.Н.Мардоньев），（苏）阿博维扬（М.А.Абовьян）著；欧阳仲寰等译.html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关键词搜索：https://www.jiaokey.com/tag/工业用模型和非模型橡胶制品的生产.html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