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铁矿石烧结生产世能技术</w:t>
      </w:r>
    </w:p>
    <w:p>
      <w:r>
        <w:rPr>
          <w:rFonts w:ascii="宋体" w:hAnsi="宋体" w:eastAsia="宋体"/>
          <w:sz w:val="24"/>
        </w:rPr>
        <w:t>杨世农，梁迪超等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铁矿石烧结生产世能技术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杨世农，梁迪超等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中国金属学会冶金部能源办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本书出售、求购地址：https://www.jiaokey.com/book/detail/11165511.html</w:t>
      </w:r>
    </w:p>
    <w:p>
      <w:r>
        <w:t>更多相关图书推荐：https://www.jiaokey.com</w:t>
      </w:r>
    </w:p>
    <w:p>
      <w:r>
        <w:t>杨世农，梁迪超等 其他作品：https://www.jiaokey.com/tag/杨世农，梁迪超等.html</w:t>
      </w:r>
    </w:p>
    <w:p>
      <w:r>
        <w:t>中国金属学会冶金部能源办 出版图书：https://www.jiaokey.com/tag/中国金属学会冶金部能源办.html</w:t>
      </w:r>
    </w:p>
    <w:p>
      <w:r>
        <w:t>关键词搜索：https://www.jiaokey.com/tag/铁矿石烧结生产世能技术.html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