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害虫的抗药性</w:t>
      </w:r>
    </w:p>
    <w:p>
      <w:r>
        <w:rPr>
          <w:rFonts w:ascii="宋体" w:hAnsi="宋体" w:eastAsia="宋体"/>
          <w:sz w:val="24"/>
        </w:rPr>
        <w:t>（美）R.T.劳什（R.T.Roush），（美）B.E.塔巴什尼可（B.E.Tabashnik）主编；芮昌辉等译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害虫的抗药性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（美）R.T.劳什（R.T.Roush），（美）B.E.塔巴什尼可（B.E.Tabashnik）主编；芮昌辉等译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本书出售、求购地址：https://www.jiaokey.com/book/detail/11165193.html</w:t>
      </w:r>
    </w:p>
    <w:p>
      <w:r>
        <w:t>更多相关图书推荐：https://www.jiaokey.com</w:t>
      </w:r>
    </w:p>
    <w:p>
      <w:r>
        <w:t>（美）R.T.劳什（R.T.Roush），（美）B.E.塔巴什尼可（B.E.Tabashnik）主编；芮昌辉等译 其他作品：https://www.jiaokey.com/tag/（美）R.T.劳什（R.T.Roush），（美）B.E.塔巴什尼可（B.E.Tabashnik）主编；芮昌辉等译.html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关键词搜索：https://www.jiaokey.com/tag/害虫的抗药性.html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